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2022 128 vom 20. September 2022</w:t>
      </w:r>
    </w:p>
    <w:p>
      <w:r>
        <w:t>SZ Gerichte, 2022-09-20, DE</w:t>
      </w:r>
    </w:p>
    <w:p>
      <w:r>
        <w:rPr>
          <w:b/>
        </w:rPr>
        <w:t xml:space="preserve">Quelle: </w:t>
      </w:r>
      <w:r>
        <w:t>https://mcp.opencaselaw.ch/entscheid/sz_gerichte_BEK 2022 128</w:t>
      </w:r>
    </w:p>
    <w:p>
      <w:r>
        <w:t>FR: SZ_GERICHTE BEK 2022 128 du 20 septembre 2022</w:t>
      </w:r>
    </w:p>
    <w:p>
      <w:r>
        <w:t>IT: SZ_GERICHTE BEK 2022 128 del 20 settembre 2022</w:t>
      </w:r>
    </w:p>
    <w:p>
      <w:pPr>
        <w:pStyle w:val="Heading2"/>
      </w:pPr>
      <w:r>
        <w:t>Regeste</w:t>
      </w:r>
    </w:p>
    <w:p>
      <w:r>
        <w:t>Wiederaufnahme Strafverfahren | Übriges Strafprozessrecht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August 2022) Beschwerde erhob (KG-act. 1); - die Beschwerdeführerin gestützt auf Art. 383 StPO mit Verfügung vom</w:t>
      </w:r>
    </w:p>
    <w:p>
      <w:r>
        <w:rPr>
          <w:b/>
        </w:rPr>
        <w:t>E. 29</w:t>
      </w:r>
    </w:p>
    <w:p>
      <w:r>
        <w:t>August 2022 aufgefordert wurde, eine Sicherheit von Fr. 1‘500.00 bis spätestens am 15. September 2022 zu leisten, unter Androhung des Nichtein- tretens im Unterlassungsfall, und dass diese Verfügung der Beschwerdeführe- rin am 30. August 2022 zugestellt wurde (KG-act. 2); - die Sicherheitsleistung nach Art. 383 Abs. 1 StPO an keine Vorausset- zungen gebunden ist und unbesehen der Frage verlangt werden kann, ob die Privatklägerschaft ein Rechtsmittel nur im Strafpunkt oder auch im Zivilpunkt erhebt (BGE 144 IV 17 E. 2.2); - die Beschwerdeführerin die Sicherheit innert der gesetzten Frist nicht leistete; - für die Sicherheitsleistung gemäss Art. 383 StPO keine Nachfrist ange- setzt werden muss (BGer Urteile 6B_1125/2019 vom 6. November 2019 E. 6.3 und 6B_36/2018 vom 12. März 2013 E. 4; Lieber, in: Do- natsch/Lieber/Summers/Wohlers [Hrsg.], Kommentar zur Schweizerischen Strafprozessordnung StPO, 3. A. 2020, Art. 383 StPO N 4; Ziegler/Keller, in: Niggli/Heer/Wiprächtiger [Hrsg.], Basler Kommentar, Schweizerische Strafpro- zessordnung, 2. A. 2014, Art. 383 StPO N 2);</w:t>
      </w:r>
    </w:p>
    <w:p>
      <w:r>
        <w:t>Kantonsgericht Schwyz 3 - auf die Beschwerde auch bei Leisten der Sicherheit nicht einzutreten gewesen wäre, weil die Beschwerdeführerin nicht genau angab, welche Punk- te des Entscheides sie anficht, welche Gründe einen anderen Entscheid nahe legen und ggf. welche Beweismittel sie anruft (Art. 385 Abs. 1 lit. a-c StPO) und sie ebenso wenig auf die Begründung der Vorinstanz im erforderlichen Ausmass einging, was ihr mit Verfügung vom 29. August 2022 angezeigt wur- de (KG-act. 3), worauf sie aber nicht reagierte; - deshalb androhungsgemäss auf die Beschwerde nicht einzutreten ist und die Beschwerdeführerin ausgangsgemäss die Kosten des Rechtsmittel- verfahrens zu tragen hätte (Art. 428 StPO), auf eine Kostenerhebung aber ausnahmsweise und unpräjudiziell verzichtet wird; - über das Nichteintreten auf die Beschwerde gemäss § 40 Abs. 2 JG präsidial entschieden werden kann; - gegen gestützt auf Art. 383 Abs. 2 StPO ergangene Nichteintretensent- scheide die Strafrechtsbeschwerde ans Bundesgericht nach Art. 78 ff. BGG offensteht (Schmid/Jositsch, Schweizerische Strafprozessordnung, Praxis- kommentar, 3. A. 2018, Art. 383 StPO N 7);-</w:t>
      </w:r>
    </w:p>
    <w:p>
      <w:r>
        <w:t>Kantonsgericht Schwyz 4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